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_rels/chart1.xml.rels" ContentType="application/vnd.openxmlformats-package.relationships+xml"/>
  <Override PartName="/word/charts/_rels/chart2.xml.rels" ContentType="application/vnd.openxmlformats-package.relationships+xml"/>
  <Override PartName="/word/charts/_rels/chart3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embeddings/_____Microsoft_Excel1.xlsx" ContentType="application/vnd.openxmlformats-officedocument.spreadsheetml.sheet"/>
  <Override PartName="/word/embeddings/_____Microsoft_Excel2.xlsx" ContentType="application/vnd.openxmlformats-officedocument.spreadsheetml.sheet"/>
  <Override PartName="/word/embeddings/_____Microsoft_Excel3.xlsx" ContentType="application/vnd.openxmlformats-officedocument.spreadsheetml.sheet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ОТЧЁТ</w:t>
      </w:r>
    </w:p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об исполнении бюджета Кировского сельского поселения</w:t>
      </w:r>
    </w:p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Светлоярского муниципального района Волгоградской области</w:t>
      </w:r>
    </w:p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за 2023 год</w:t>
      </w:r>
    </w:p>
    <w:p>
      <w:pPr>
        <w:pStyle w:val="Normal"/>
        <w:tabs>
          <w:tab w:val="clear" w:pos="708"/>
          <w:tab w:val="left" w:pos="1140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Исполнение бюджета Кировского сельского поселения за 2023 год осуществлялось в соответствии с решением Совета депутатов Кировского сельского поселения от 23.12.2022 № 78/125 «О бюджете Кировского сельского поселения на 2023 год и плановый период 2024 и 2025 годов», согласно которого бюджет поселения по доходам утверждён в сумме 58 716,8 тыс. рублей, по расходам в сумме 58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716,8 тыс. рублей, дефицит (профицит) бюджета - 0,0 тыс. рублей.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исполнения внесены изменения в утверждённые бюджетные назначения в соответствии с решениями Совета депутатов Кировского сельского поселения от 25.07.2023 № 91/146, от 30.10.2023 № 94/150, от 13.12.2023                   № 96/154.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учетом внесённых изменений уточнённый план по доходам составил   57 149,3 тыс. рублей, по расходам 60 877,5 тыс. рублей, дефицит бюджета 3 728,2 тыс. рублей.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2023 году исполнение местного бюджета осуществлялось в рамках мероприятий, направленных на сохранение стабильности финансовой системы поселения. Основными задачами деятельности по исполнению бюджета являлось укрепление доходной базы, обеспечение стабильного финансирования первоочередных обязательств бюджета, экономия и оптимизация бюджетных расходов.</w:t>
      </w:r>
    </w:p>
    <w:p>
      <w:pPr>
        <w:pStyle w:val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Основными итогами исполнения бюджета Кировского сельского поселения за 2023 год являются:</w:t>
      </w:r>
    </w:p>
    <w:tbl>
      <w:tblPr>
        <w:tblW w:w="907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36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Исполнение (тыс. рублей)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54 048,0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59 493,5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Дефицит(-), профицит(+) бюджета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- 5 445,5</w:t>
            </w:r>
          </w:p>
        </w:tc>
      </w:tr>
    </w:tbl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Доходы бюджета поселения</w:t>
      </w:r>
    </w:p>
    <w:p>
      <w:pPr>
        <w:pStyle w:val="Normal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бюджет Кировского сельского поселения за 2023 год поступило доходов в сумме 54 048,0 тыс. рублей, исполнение бюджетных назначений составило 94,6%.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Налоговые и неналоговые доходы (собственные доходы) составляют 79,4% от общего поступления доходов поселения. Безвозмездные поступления составляют 20,6% от общих доходов бюджета.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Структура собственных доходов бюджета Кировского сельского поселения за 2023 год представлена на рис. 1.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142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142"/>
        <w:jc w:val="center"/>
        <w:rPr>
          <w:b/>
          <w:b/>
          <w:sz w:val="24"/>
          <w:szCs w:val="24"/>
        </w:rPr>
      </w:pPr>
      <w:r>
        <w:rPr/>
        <w:drawing>
          <wp:inline distT="0" distB="0" distL="0" distR="0">
            <wp:extent cx="6027420" cy="2607945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</w:r>
    </w:p>
    <w:p>
      <w:pPr>
        <w:pStyle w:val="Normal"/>
        <w:ind w:firstLine="142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142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Рис.1. Структура собственных доходов бюджета Кировского сельского поселения за 2023 год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Фактическое поступление  налоговых и неналоговых доходов за 2023 год составило 42 911,2 тыс. рублей,  бюджетные назначения исполнены на 93,3%, по сравнению с прошлым годом поступление доходов уменьшилось на 10 543,4 тыс. рублей или на 19,7%.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числу основных доходных источников бюджета Кировского сельского поселения за отчетный период относятся: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Налоги на имущество, </w:t>
      </w:r>
      <w:r>
        <w:rPr>
          <w:sz w:val="26"/>
          <w:szCs w:val="26"/>
        </w:rPr>
        <w:t>которые составили 61,4% от общих собственных доходов, поступление за 2023 год составило 26 347,4 тыс. рублей, бюджетные назначения исполнены на 88,7%, а именно:</w:t>
      </w:r>
    </w:p>
    <w:p>
      <w:pPr>
        <w:pStyle w:val="NormalWeb"/>
        <w:spacing w:beforeAutospacing="0" w:before="0" w:afterAutospacing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налог на имущество физических лиц поступил в размере 763,1 тыс. рублей, бюджетные назначения исполнены на 83,8%, по сравнению с предыдущим годом налог увеличился на 90,0 тыс. рублей или на 13,4%;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земельный налог поступил в размере 25 584,3 тыс. рублей, бюджетные назначения исполнены на 88,9%. По сравнению с предыдущим годом поступление налога уменьшилось на 10 639,4 тыс. рублей или на 29,4%, что связано с </w:t>
      </w:r>
      <w:r>
        <w:rPr>
          <w:sz w:val="26"/>
          <w:szCs w:val="26"/>
          <w:shd w:fill="FFFFFF" w:val="clear"/>
        </w:rPr>
        <w:t>оплатой авансового платежа в 4 квартале 2022 года от ФБУ «Администрация «Волго–Дон» за 1 квартал 2023 года, а также в связи с изменением кадастровой стоимости земельных участков, находящихся у ФБУ «Администрация «Волго–Дон».</w:t>
      </w:r>
      <w:r>
        <w:rPr>
          <w:sz w:val="26"/>
          <w:szCs w:val="26"/>
        </w:rPr>
        <w:t xml:space="preserve"> </w:t>
      </w:r>
    </w:p>
    <w:p>
      <w:pPr>
        <w:pStyle w:val="PlainText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</w:rPr>
        <w:t>Налог на доходы физических лиц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который составил </w:t>
      </w:r>
      <w:r>
        <w:rPr>
          <w:rFonts w:ascii="Times New Roman" w:hAnsi="Times New Roman"/>
          <w:sz w:val="26"/>
          <w:szCs w:val="26"/>
          <w:lang w:val="ru-RU"/>
        </w:rPr>
        <w:t>20,7</w:t>
      </w:r>
      <w:r>
        <w:rPr>
          <w:rFonts w:ascii="Times New Roman" w:hAnsi="Times New Roman"/>
          <w:sz w:val="26"/>
          <w:szCs w:val="26"/>
        </w:rPr>
        <w:t>% от общих собственных доходов</w:t>
      </w:r>
      <w:r>
        <w:rPr>
          <w:rFonts w:ascii="Times New Roman" w:hAnsi="Times New Roman"/>
          <w:sz w:val="26"/>
          <w:szCs w:val="26"/>
          <w:lang w:val="ru-RU"/>
        </w:rPr>
        <w:t>,</w:t>
      </w:r>
      <w:r>
        <w:rPr>
          <w:rFonts w:ascii="Times New Roman" w:hAnsi="Times New Roman"/>
          <w:sz w:val="26"/>
          <w:szCs w:val="26"/>
        </w:rPr>
        <w:t xml:space="preserve"> поступил в размере </w:t>
      </w:r>
      <w:r>
        <w:rPr>
          <w:rFonts w:ascii="Times New Roman" w:hAnsi="Times New Roman"/>
          <w:sz w:val="26"/>
          <w:szCs w:val="26"/>
          <w:lang w:val="ru-RU"/>
        </w:rPr>
        <w:t>8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902,7</w:t>
      </w:r>
      <w:r>
        <w:rPr>
          <w:rFonts w:ascii="Times New Roman" w:hAnsi="Times New Roman"/>
          <w:sz w:val="26"/>
          <w:szCs w:val="26"/>
        </w:rPr>
        <w:t xml:space="preserve"> тыс. рублей, бюджетные назначения исполнены на </w:t>
      </w:r>
      <w:r>
        <w:rPr>
          <w:rFonts w:ascii="Times New Roman" w:hAnsi="Times New Roman"/>
          <w:sz w:val="26"/>
          <w:szCs w:val="26"/>
          <w:lang w:val="ru-RU"/>
        </w:rPr>
        <w:t>101,8</w:t>
      </w:r>
      <w:r>
        <w:rPr>
          <w:rFonts w:ascii="Times New Roman" w:hAnsi="Times New Roman"/>
          <w:sz w:val="26"/>
          <w:szCs w:val="26"/>
        </w:rPr>
        <w:t>%. По сравнению с 20</w:t>
      </w:r>
      <w:r>
        <w:rPr>
          <w:rFonts w:ascii="Times New Roman" w:hAnsi="Times New Roman"/>
          <w:sz w:val="26"/>
          <w:szCs w:val="26"/>
          <w:lang w:val="ru-RU"/>
        </w:rPr>
        <w:t>22</w:t>
      </w:r>
      <w:r>
        <w:rPr>
          <w:rFonts w:ascii="Times New Roman" w:hAnsi="Times New Roman"/>
          <w:sz w:val="26"/>
          <w:szCs w:val="26"/>
        </w:rPr>
        <w:t xml:space="preserve"> годом поступлени</w:t>
      </w:r>
      <w:r>
        <w:rPr>
          <w:rFonts w:ascii="Times New Roman" w:hAnsi="Times New Roman"/>
          <w:sz w:val="26"/>
          <w:szCs w:val="26"/>
          <w:lang w:val="ru-RU"/>
        </w:rPr>
        <w:t>я</w:t>
      </w:r>
      <w:r>
        <w:rPr>
          <w:rFonts w:ascii="Times New Roman" w:hAnsi="Times New Roman"/>
          <w:sz w:val="26"/>
          <w:szCs w:val="26"/>
        </w:rPr>
        <w:t xml:space="preserve"> у</w:t>
      </w:r>
      <w:r>
        <w:rPr>
          <w:rFonts w:ascii="Times New Roman" w:hAnsi="Times New Roman"/>
          <w:sz w:val="26"/>
          <w:szCs w:val="26"/>
          <w:lang w:val="ru-RU"/>
        </w:rPr>
        <w:t>величились</w:t>
      </w:r>
      <w:r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  <w:lang w:val="ru-RU"/>
        </w:rPr>
        <w:t>913,3</w:t>
      </w:r>
      <w:r>
        <w:rPr>
          <w:rFonts w:ascii="Times New Roman" w:hAnsi="Times New Roman"/>
          <w:sz w:val="26"/>
          <w:szCs w:val="26"/>
        </w:rPr>
        <w:t xml:space="preserve"> тыс. рублей или на </w:t>
      </w:r>
      <w:r>
        <w:rPr>
          <w:rFonts w:ascii="Times New Roman" w:hAnsi="Times New Roman"/>
          <w:sz w:val="26"/>
          <w:szCs w:val="26"/>
          <w:lang w:val="ru-RU"/>
        </w:rPr>
        <w:t>11,4</w:t>
      </w:r>
      <w:r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  <w:lang w:val="ru-RU"/>
        </w:rPr>
        <w:t xml:space="preserve">. </w:t>
      </w:r>
    </w:p>
    <w:p>
      <w:pPr>
        <w:pStyle w:val="Normal"/>
        <w:ind w:firstLine="709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Акцизы по подакцизным товарам (продукции), производимым на территории РФ, </w:t>
      </w:r>
      <w:r>
        <w:rPr>
          <w:sz w:val="26"/>
          <w:szCs w:val="26"/>
        </w:rPr>
        <w:t>которые составили 4,0% от общих собственных доходов, поступили в размере 1 729,1 тыс. рублей, бюджетные назначения исполнены на 102,5%, по сравнению с 2022 годом поступления увеличились на 770,3 тыс. рублей или на 80,3%</w:t>
      </w:r>
      <w:r>
        <w:rPr>
          <w:color w:val="000000"/>
          <w:sz w:val="26"/>
          <w:szCs w:val="26"/>
        </w:rPr>
        <w:t>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Единый сельскохозяйственный налог, </w:t>
      </w:r>
      <w:r>
        <w:rPr>
          <w:sz w:val="26"/>
          <w:szCs w:val="26"/>
        </w:rPr>
        <w:t xml:space="preserve">который составил 0,1% от общих собственных доходов, поступил в размере 14,7 тыс. рублей, бюджетные назначения исполнены на 100,0%, по сравнению с 2022 годом поступления увеличились на 3,1 тыс. рублей или на 26,7%.  </w:t>
      </w:r>
    </w:p>
    <w:p>
      <w:pPr>
        <w:pStyle w:val="PlainText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</w:rPr>
        <w:t>Задолженность и перерасчеты по отмененным налогам, сборам и иным обязательным платежам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lang w:val="ru-RU"/>
        </w:rPr>
        <w:t>а именно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возврат земельного налога (по обязательствам, возникшим до 1 января 2006 года), мобилизуемого на территории сельских поселений,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составил в сумме менее 0,1 тыс.</w:t>
      </w:r>
      <w:r>
        <w:rPr>
          <w:rFonts w:ascii="Times New Roman" w:hAnsi="Times New Roman"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  <w:lang w:val="ru-RU"/>
        </w:rPr>
        <w:t>,</w:t>
      </w:r>
      <w:r>
        <w:rPr>
          <w:rFonts w:ascii="Times New Roman" w:hAnsi="Times New Roman"/>
          <w:sz w:val="26"/>
          <w:szCs w:val="26"/>
        </w:rPr>
        <w:t xml:space="preserve"> годовые бюджетные назначения </w:t>
      </w:r>
      <w:r>
        <w:rPr>
          <w:rFonts w:ascii="Times New Roman" w:hAnsi="Times New Roman"/>
          <w:sz w:val="26"/>
          <w:szCs w:val="26"/>
          <w:lang w:val="ru-RU"/>
        </w:rPr>
        <w:t>исполнены на 0,0%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Доходы от использования имущества,</w:t>
      </w:r>
      <w:r>
        <w:rPr/>
        <w:t xml:space="preserve"> </w:t>
      </w:r>
      <w:r>
        <w:rPr>
          <w:sz w:val="26"/>
          <w:szCs w:val="26"/>
        </w:rPr>
        <w:t>которые составили 1,7% от общих собственных доходов, в 2023 году поступили в сумме 741,9 тыс. рублей, бюджетные назначения исполнены на 100,0%, а именно: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учреждений), составили 741,9 тыс. рублей, бюджетные назначения исполнены на 100,0%, по сравнению с 2022 годом поступления увеличились на 17,6 тыс. рублей или на 2,4%.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Доходы от оказания платных услуг и компенсации затрат государства,</w:t>
      </w:r>
      <w:r>
        <w:rPr>
          <w:sz w:val="26"/>
          <w:szCs w:val="26"/>
        </w:rPr>
        <w:t xml:space="preserve"> которые составили 9,8% от общих собственных доходов, поступили в сумме 4 202,8 тыс. рублей, бюджетные назначения исполнены на 100,1%, а именно: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доходы от оказания платных услуг (работ) получателями средств бюджетов сельских поселений поступили в сумме 36,8 тыс. рублей, годовые бюджетные назначения исполнены на 115,0%. По сравнению с аналогичным периодом прошлого года поступления увеличились на 36,8 тыс. рублей.</w:t>
      </w:r>
    </w:p>
    <w:p>
      <w:pPr>
        <w:pStyle w:val="Normal"/>
        <w:ind w:firstLine="708"/>
        <w:jc w:val="both"/>
        <w:rPr/>
      </w:pPr>
      <w:r>
        <w:rPr>
          <w:sz w:val="26"/>
          <w:szCs w:val="26"/>
        </w:rPr>
        <w:t xml:space="preserve">- прочие доходы от компенсации затрат бюджетов сельских поселений поступили в сумме 4 166,0 тыс. рублей, годовые бюджетные назначения исполнены на 100,0%. По сравнению с аналогичным периодом прошлого года поступления уменьшились на 2 705,0 тыс. рублей или на 39,4%, что связано с </w:t>
      </w:r>
      <w:r>
        <w:rPr>
          <w:sz w:val="26"/>
          <w:szCs w:val="26"/>
          <w:shd w:fill="FFFFFF" w:val="clear"/>
        </w:rPr>
        <w:t>единовременной выплатой в 2022 году по соглашению</w:t>
      </w:r>
      <w:r>
        <w:rPr>
          <w:rStyle w:val="Strong"/>
          <w:sz w:val="26"/>
          <w:szCs w:val="26"/>
          <w:shd w:fill="FFFFFF" w:val="clear"/>
        </w:rPr>
        <w:t> </w:t>
      </w:r>
      <w:r>
        <w:rPr>
          <w:sz w:val="26"/>
          <w:szCs w:val="26"/>
          <w:shd w:fill="FFFFFF" w:val="clear"/>
        </w:rPr>
        <w:t>о</w:t>
      </w:r>
      <w:r>
        <w:rPr>
          <w:rStyle w:val="Strong"/>
          <w:sz w:val="26"/>
          <w:szCs w:val="26"/>
          <w:shd w:fill="FFFFFF" w:val="clear"/>
        </w:rPr>
        <w:t> </w:t>
      </w:r>
      <w:r>
        <w:rPr>
          <w:sz w:val="26"/>
          <w:szCs w:val="26"/>
          <w:shd w:fill="FFFFFF" w:val="clear"/>
        </w:rPr>
        <w:t>проведении компенсационного озеленения ООО «СУ-873»</w:t>
      </w:r>
      <w:r>
        <w:rPr/>
        <w:t>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Доходы от штрафов, санкций, возмещений ущерба,</w:t>
      </w:r>
      <w:r>
        <w:rPr>
          <w:sz w:val="26"/>
          <w:szCs w:val="26"/>
        </w:rPr>
        <w:t xml:space="preserve"> которые составили 2,3% от общих собственных доходов, поступили в размере 972,6 тыс. рублей, бюджетные назначения исполнены на 104,0%, а именно: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контроля, поступили в сумме 4,0 тыс. рублей, годовые бюджетные назначения исполнены на 100,0%, по сравнению с 2022 годом поступление увеличилось на 0,5 тыс. рублей или на 14,3%;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бюджете, поступили в сумме 137,0 тыс. рублей, годовые бюджетные назначения исполнены на 137,7%;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поселения, поступили в сумме 831,6 тыс. рублей, годовые бюджетные назначения исполнены на 100,0%.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Сумма безвозмездных поступлений</w:t>
      </w:r>
      <w:r>
        <w:rPr>
          <w:sz w:val="26"/>
          <w:szCs w:val="26"/>
        </w:rPr>
        <w:t xml:space="preserve"> за 2023 год составила 11 136,8 тыс. рублей или 20,6% от общих доходов поселения. Процент исполнения годовых назначений составил 100,0%, в том числе: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- дотации бюджетам бюджетной системы Российской Федерации</w:t>
      </w:r>
      <w:r>
        <w:rPr>
          <w:sz w:val="26"/>
          <w:szCs w:val="26"/>
        </w:rPr>
        <w:t>, а именно дотация на выравнивание бюджетной обеспеченности, поступила в размере 8 382,0 тыс. рублей, бюджетные назначения исполнены на 100,0%;</w:t>
      </w:r>
    </w:p>
    <w:p>
      <w:pPr>
        <w:pStyle w:val="Normal"/>
        <w:tabs>
          <w:tab w:val="clear" w:pos="708"/>
          <w:tab w:val="left" w:pos="1140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>
        <w:rPr>
          <w:b/>
          <w:sz w:val="26"/>
          <w:szCs w:val="26"/>
        </w:rPr>
        <w:t xml:space="preserve">- субвенция бюджетам бюджетной системы Российской Федерации </w:t>
      </w:r>
      <w:r>
        <w:rPr>
          <w:sz w:val="26"/>
          <w:szCs w:val="26"/>
        </w:rPr>
        <w:t>поступила в размере 375,9 тыс. рублей, бюджетные назначения исполнены на 100,0%, в том числе: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субвенция на осуществление первичного воинского учёта – 356,9 тыс. рублей; 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- субвенция на обеспечение деятельности административной комиссии – 19,0 тыс. рублей.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- </w:t>
      </w:r>
      <w:r>
        <w:rPr>
          <w:b/>
          <w:sz w:val="26"/>
          <w:szCs w:val="26"/>
        </w:rPr>
        <w:t>иные межбюджетные трансферты</w:t>
      </w:r>
      <w:r>
        <w:rPr>
          <w:sz w:val="26"/>
          <w:szCs w:val="26"/>
        </w:rPr>
        <w:t xml:space="preserve"> поступили в размере 2 378,9 тыс. рублей, бюджетные назначения исполнены на 100,0%, в том числе: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иной межбюджетный трансферт на осуществление части полномочий муниципального района в соответствии с заключенными соглашениями в размере 2 212,2 тыс. рублей;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иной межбюджетный трансферт на содержание объектов благоустройства в размере 166,7 тыс. рублей.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Расходы бюджета поселения</w:t>
      </w:r>
    </w:p>
    <w:p>
      <w:pPr>
        <w:pStyle w:val="Normal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Расходы бюджета Кировского сельского поселения на 2023 год утверждены в сумме 60 877,5 тыс. рублей, исполнение составило 59 493,5 тыс. рублей. План годовых назначений выполнен на 97,7%. По сравнению с 2022 годом расходы уменьшились на 867,6 тыс. рублей или на 1,4%.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Исполнение бюджета Кировского сельского поселения за 2023 год по разделам бюджетной классификации характеризуется следующими данными:</w:t>
      </w:r>
    </w:p>
    <w:p>
      <w:pPr>
        <w:pStyle w:val="Normal"/>
        <w:ind w:firstLine="709"/>
        <w:jc w:val="right"/>
        <w:rPr/>
      </w:pPr>
      <w:r>
        <w:rPr/>
        <w:t>тыс. рублей</w:t>
      </w:r>
    </w:p>
    <w:tbl>
      <w:tblPr>
        <w:tblW w:w="14122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33"/>
        <w:gridCol w:w="991"/>
        <w:gridCol w:w="993"/>
        <w:gridCol w:w="850"/>
        <w:gridCol w:w="993"/>
        <w:gridCol w:w="991"/>
        <w:gridCol w:w="852"/>
        <w:gridCol w:w="991"/>
        <w:gridCol w:w="994"/>
        <w:gridCol w:w="5032"/>
      </w:tblGrid>
      <w:tr>
        <w:trPr>
          <w:trHeight w:val="850" w:hRule="atLeast"/>
        </w:trPr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</w:rPr>
              <w:t>Наименование показателя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План на 2022 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Исполнение бюджета на 2022 г.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% исполнения к годовому плану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План на 2023 год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Исполнение бюджета</w:t>
            </w:r>
          </w:p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за 2023 г.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% исполнения к годовому плану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Исполнение 2023 г.                 к 2022 году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0" w:hRule="atLeast"/>
        </w:trPr>
        <w:tc>
          <w:tcPr>
            <w:tcW w:w="14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рублей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в %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0" w:hRule="atLeast"/>
        </w:trPr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5 447,2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5 098,3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7 203,1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6 968,4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+ 1 870,1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+ 36,7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60" w:hRule="atLeast"/>
        </w:trPr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+ 46,9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+ 15,1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68" w:hRule="atLeast"/>
        </w:trPr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1 161,4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- 403,4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- 35,0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0" w:hRule="atLeast"/>
        </w:trPr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21 045,5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17 966,8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7 548,0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7 436,1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- 10 530,7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- 58,6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89" w:hRule="atLeast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30 216,5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25 850,8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31 801,8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31 309,0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+ 5 458,2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+ 21,1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89" w:hRule="atLeast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2 936,4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2 929,7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+ 2 668,2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+ 1 020,3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0" w:hRule="atLeast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Культура, </w:t>
            </w:r>
            <w:r>
              <w:rPr>
                <w:sz w:val="16"/>
                <w:szCs w:val="18"/>
              </w:rPr>
              <w:t>кинематография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9 591,1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9 020,9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9 418,8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9 059,5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+ 38,6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+ 0,4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0" w:hRule="atLeast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+ 27,1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+ 6,6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0" w:hRule="atLeast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- 42,5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- 14,6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6" w:hRule="atLeast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 расходов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68 826,7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60 361,1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60 877,5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59 493,5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- 867,6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- 1,4</w:t>
            </w:r>
          </w:p>
        </w:tc>
        <w:tc>
          <w:tcPr>
            <w:tcW w:w="503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ind w:firstLine="709"/>
        <w:jc w:val="right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Структура расходов бюджета Кировского сельского поселения за 2023 год представлена на рис. 1.</w:t>
      </w:r>
    </w:p>
    <w:p>
      <w:pPr>
        <w:pStyle w:val="Normal"/>
        <w:jc w:val="both"/>
        <w:rPr/>
      </w:pPr>
      <w:r>
        <w:rPr/>
        <w:drawing>
          <wp:inline distT="0" distB="0" distL="0" distR="0">
            <wp:extent cx="5772785" cy="2544445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"/>
              </a:graphicData>
            </a:graphic>
          </wp:inline>
        </w:drawing>
      </w:r>
    </w:p>
    <w:p>
      <w:pPr>
        <w:pStyle w:val="Normal"/>
        <w:jc w:val="center"/>
        <w:rPr>
          <w:b/>
          <w:b/>
          <w:sz w:val="24"/>
          <w:szCs w:val="24"/>
        </w:rPr>
      </w:pPr>
      <w:bookmarkStart w:id="0" w:name="_MON_1455539725"/>
      <w:bookmarkEnd w:id="0"/>
      <w:r>
        <w:rPr>
          <w:b/>
          <w:sz w:val="24"/>
          <w:szCs w:val="24"/>
        </w:rPr>
        <w:t>Рис. 2. Структура расходов бюджета Кировского сельского поселения за 2023 год</w:t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Из диаграммы, представленной на рисунке 2, видно, что наибольший удельный вес в общих расходах поселения занимают расходы по разделу</w:t>
      </w:r>
      <w:r>
        <w:rPr>
          <w:rStyle w:val="115pt0pt"/>
          <w:sz w:val="26"/>
          <w:szCs w:val="26"/>
        </w:rPr>
        <w:t xml:space="preserve">     </w:t>
      </w:r>
      <w:r>
        <w:rPr>
          <w:rStyle w:val="Style17"/>
          <w:sz w:val="26"/>
          <w:szCs w:val="26"/>
        </w:rPr>
        <w:t xml:space="preserve">0500 «Жилищно-коммунальное хозяйство» </w:t>
      </w:r>
      <w:r>
        <w:rPr>
          <w:sz w:val="26"/>
          <w:szCs w:val="26"/>
        </w:rPr>
        <w:t>- 52,6%, а наименьший - по разделу</w:t>
      </w:r>
      <w:r>
        <w:rPr>
          <w:rStyle w:val="Style17"/>
          <w:sz w:val="26"/>
          <w:szCs w:val="26"/>
        </w:rPr>
        <w:t xml:space="preserve"> 1100 «Физическая культура и спорт» </w:t>
      </w:r>
      <w:r>
        <w:rPr>
          <w:sz w:val="26"/>
          <w:szCs w:val="26"/>
        </w:rPr>
        <w:t>- 0,4%.</w:t>
      </w:r>
    </w:p>
    <w:p>
      <w:pPr>
        <w:pStyle w:val="1"/>
        <w:shd w:val="clear" w:color="auto" w:fill="auto"/>
        <w:spacing w:lineRule="exact" w:line="302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spacing w:lineRule="exact" w:line="302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В разрезе разделов бюджетной классификации исполнение бюджета по расходам следующее.</w:t>
      </w:r>
    </w:p>
    <w:p>
      <w:pPr>
        <w:pStyle w:val="1"/>
        <w:shd w:val="clear" w:color="auto" w:fill="auto"/>
        <w:spacing w:lineRule="exact" w:line="302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spacing w:lineRule="exact" w:line="302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0100 «Общегосударственные вопросы»</w:t>
      </w:r>
      <w:r>
        <w:rPr>
          <w:sz w:val="26"/>
          <w:szCs w:val="26"/>
        </w:rPr>
        <w:t xml:space="preserve"> расходы составили 6 968,4 тыс. рублей, что составляет 11,7% в общей сумме расходов. План годовых назначений по разделу выполнен на 96,7%. По сравнению с 2022 годом расходы увеличились на 1 870,1 тыс. рублей или на 36,7%. Расходы по подразделам составили: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1004" w:leader="none"/>
        </w:tabs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>
        <w:rPr>
          <w:rStyle w:val="Style17"/>
          <w:sz w:val="26"/>
          <w:szCs w:val="26"/>
        </w:rPr>
        <w:t xml:space="preserve"> 0102</w:t>
      </w:r>
      <w:r>
        <w:rPr>
          <w:sz w:val="26"/>
          <w:szCs w:val="26"/>
        </w:rPr>
        <w:t xml:space="preserve"> «Функционирование высшего должностного лица субъекта РФ и муниципального образования» - 861,2 тыс. рублей, годовые плановые назначения выполнены на 97,0%;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956" w:leader="none"/>
        </w:tabs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>
        <w:rPr>
          <w:rStyle w:val="Style17"/>
          <w:sz w:val="26"/>
          <w:szCs w:val="26"/>
        </w:rPr>
        <w:t xml:space="preserve"> 0104</w:t>
      </w:r>
      <w:r>
        <w:rPr>
          <w:sz w:val="26"/>
          <w:szCs w:val="26"/>
        </w:rPr>
        <w:t xml:space="preserve"> «Функционирование Правительства РФ, высших исполнительных органов государственной власти субъектов РФ, местных администраций» - 3 702,6 тыс. рублей, годовые плановые назначения выполнены на 96,3%;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884" w:leader="none"/>
        </w:tabs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>
        <w:rPr>
          <w:rStyle w:val="Style17"/>
          <w:sz w:val="26"/>
          <w:szCs w:val="26"/>
        </w:rPr>
        <w:t xml:space="preserve"> 0106</w:t>
      </w:r>
      <w:r>
        <w:rPr>
          <w:sz w:val="26"/>
          <w:szCs w:val="26"/>
        </w:rPr>
        <w:t xml:space="preserve"> «Обеспечение деятельности финансовых, налоговых и таможенных органов и органов финансового (финансово</w:t>
      </w:r>
      <w:r>
        <w:rPr>
          <w:rStyle w:val="Style17"/>
          <w:sz w:val="26"/>
          <w:szCs w:val="26"/>
        </w:rPr>
        <w:t>-</w:t>
      </w:r>
      <w:r>
        <w:rPr>
          <w:rStyle w:val="Style17"/>
          <w:b w:val="false"/>
          <w:sz w:val="26"/>
          <w:szCs w:val="26"/>
        </w:rPr>
        <w:t>бюджетного)</w:t>
      </w:r>
      <w:r>
        <w:rPr>
          <w:rStyle w:val="Style17"/>
          <w:sz w:val="26"/>
          <w:szCs w:val="26"/>
        </w:rPr>
        <w:t xml:space="preserve"> </w:t>
      </w:r>
      <w:r>
        <w:rPr>
          <w:sz w:val="26"/>
          <w:szCs w:val="26"/>
        </w:rPr>
        <w:t xml:space="preserve">надзора» - 100,7 тыс. рублей, годовые плановые назначения выполнены на     99,9%; 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884" w:leader="none"/>
        </w:tabs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>
        <w:rPr>
          <w:b/>
          <w:sz w:val="26"/>
          <w:szCs w:val="26"/>
        </w:rPr>
        <w:t>0107</w:t>
      </w:r>
      <w:r>
        <w:rPr>
          <w:sz w:val="26"/>
          <w:szCs w:val="26"/>
        </w:rPr>
        <w:t xml:space="preserve"> «Обеспечение проведения выборов и        референдумов» - 955,0 тыс. рублей, годовые плановые назначения выполнены на 100,0%;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975" w:leader="none"/>
        </w:tabs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>
        <w:rPr>
          <w:rStyle w:val="Style17"/>
          <w:sz w:val="26"/>
          <w:szCs w:val="26"/>
        </w:rPr>
        <w:t xml:space="preserve"> 0111</w:t>
      </w:r>
      <w:r>
        <w:rPr>
          <w:sz w:val="26"/>
          <w:szCs w:val="26"/>
        </w:rPr>
        <w:t xml:space="preserve"> «Резервные фонды» при плановых назначениях в сумме 11,0 тыс. рублей, фактические расходы не производились;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922" w:leader="none"/>
        </w:tabs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>
        <w:rPr>
          <w:rStyle w:val="Style17"/>
          <w:sz w:val="26"/>
          <w:szCs w:val="26"/>
        </w:rPr>
        <w:t xml:space="preserve"> 0113</w:t>
      </w:r>
      <w:r>
        <w:rPr>
          <w:sz w:val="26"/>
          <w:szCs w:val="26"/>
        </w:rPr>
        <w:t xml:space="preserve"> «Другие общегосударственные вопросы» расходы составили</w:t>
      </w:r>
      <w:r>
        <w:rPr>
          <w:rStyle w:val="Style17"/>
          <w:sz w:val="26"/>
          <w:szCs w:val="26"/>
        </w:rPr>
        <w:t xml:space="preserve"> </w:t>
      </w:r>
      <w:r>
        <w:rPr>
          <w:rStyle w:val="Style17"/>
          <w:b w:val="false"/>
          <w:sz w:val="26"/>
          <w:szCs w:val="26"/>
        </w:rPr>
        <w:t xml:space="preserve">1 348,9 </w:t>
      </w:r>
      <w:r>
        <w:rPr>
          <w:sz w:val="26"/>
          <w:szCs w:val="26"/>
        </w:rPr>
        <w:t>тыс. рублей, годовые плановые назначения выполнены на     96,2%.</w:t>
      </w:r>
    </w:p>
    <w:p>
      <w:pPr>
        <w:pStyle w:val="1"/>
        <w:shd w:val="clear" w:color="auto" w:fill="auto"/>
        <w:tabs>
          <w:tab w:val="clear" w:pos="708"/>
          <w:tab w:val="left" w:pos="922" w:leader="none"/>
        </w:tabs>
        <w:ind w:left="740" w:right="20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spacing w:lineRule="exact" w:line="302" w:before="0" w:after="244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0200 «Национальная оборона»</w:t>
      </w:r>
      <w:r>
        <w:rPr>
          <w:sz w:val="26"/>
          <w:szCs w:val="26"/>
        </w:rPr>
        <w:t xml:space="preserve"> (подраздел                           </w:t>
      </w:r>
      <w:r>
        <w:rPr>
          <w:b/>
          <w:sz w:val="26"/>
          <w:szCs w:val="26"/>
        </w:rPr>
        <w:t>0203</w:t>
      </w:r>
      <w:r>
        <w:rPr>
          <w:sz w:val="26"/>
          <w:szCs w:val="26"/>
        </w:rPr>
        <w:t xml:space="preserve"> «Мобилизационная и вневойсковая подготовка») сумма расходов составила 356,9 тыс. рублей – 0,6% в общей сумме расходов. План годовых назначений выполнен на 100,0%. По сравнению с 2022 годом расходы увеличились на 46,9 тыс. рублей или на 15,1%.</w:t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0300 «Национальная безопасность и правоохранительная деятельность»</w:t>
      </w:r>
      <w:r>
        <w:rPr>
          <w:sz w:val="26"/>
          <w:szCs w:val="26"/>
        </w:rPr>
        <w:t xml:space="preserve"> сумма расходов составила 747,7 тыс. рублей или 1,3% в общей сумме расходов. План годовых назначений по разделу выполнен на 89,9%. По сравнению с 2022 годом расходы уменьшились на 403,4 тыс. рублей или на       35,0%. Расходы по подразделам составили:</w:t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 xml:space="preserve">- по подразделу </w:t>
      </w:r>
      <w:r>
        <w:rPr>
          <w:b/>
          <w:sz w:val="26"/>
          <w:szCs w:val="26"/>
        </w:rPr>
        <w:t>0309</w:t>
      </w:r>
      <w:r>
        <w:rPr>
          <w:sz w:val="26"/>
          <w:szCs w:val="26"/>
        </w:rPr>
        <w:t xml:space="preserve"> «Гражданская оборона» - при плановых назначениях в сумме 10,0 тыс. рублей, фактические расходы отсутствуют;</w:t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- по подразделу</w:t>
      </w:r>
      <w:r>
        <w:rPr>
          <w:rStyle w:val="Style17"/>
          <w:sz w:val="26"/>
          <w:szCs w:val="26"/>
        </w:rPr>
        <w:t xml:space="preserve"> 0310</w:t>
      </w:r>
      <w:r>
        <w:rPr>
          <w:sz w:val="26"/>
          <w:szCs w:val="26"/>
        </w:rPr>
        <w:t xml:space="preserve"> «Защита населения и территории от чрезвычайных ситуаций природного и техногенного характера, пожарная безопасность» -  698,8 тыс. рублей, годовые плановые назначения выполнены на 90,4%;</w:t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- по подразделу</w:t>
      </w:r>
      <w:r>
        <w:rPr>
          <w:rStyle w:val="Style17"/>
          <w:sz w:val="26"/>
          <w:szCs w:val="26"/>
        </w:rPr>
        <w:t xml:space="preserve"> 0314</w:t>
      </w:r>
      <w:r>
        <w:rPr>
          <w:sz w:val="26"/>
          <w:szCs w:val="26"/>
        </w:rPr>
        <w:t xml:space="preserve"> «Другие вопросы в области национальной безопасности и правоохранительной деятельности» - 48,9 тыс. рублей, годовые плановые назначения выполнены на 100,0%.</w:t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tabs>
          <w:tab w:val="clear" w:pos="708"/>
          <w:tab w:val="left" w:pos="898" w:leader="none"/>
        </w:tabs>
        <w:spacing w:lineRule="exact" w:line="322"/>
        <w:ind w:right="23" w:firstLine="896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0400 «Национальная экономика»</w:t>
      </w:r>
      <w:r>
        <w:rPr>
          <w:sz w:val="26"/>
          <w:szCs w:val="26"/>
        </w:rPr>
        <w:t xml:space="preserve"> сумма расходов составила 7 436,1 тыс. рублей или 12,5% в общей сумме расходов. План годовых назначений по разделу выполнен на 98,5%. По сравнению с 2022 годом расходы уменьшились на 10 530,7 тыс. рублей или на 58,6%. Расходы по подразделам составили: 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898" w:leader="none"/>
        </w:tabs>
        <w:spacing w:lineRule="exact" w:line="322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>
        <w:rPr>
          <w:rStyle w:val="Style17"/>
          <w:sz w:val="26"/>
          <w:szCs w:val="26"/>
        </w:rPr>
        <w:t xml:space="preserve"> 0409</w:t>
      </w:r>
      <w:r>
        <w:rPr>
          <w:sz w:val="26"/>
          <w:szCs w:val="26"/>
        </w:rPr>
        <w:t xml:space="preserve"> «Дорожное хозяйство (дорожные фонды)» -    7 281,1 тыс. рублей, годовые плановые назначения выполнены на 98,5%;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903" w:leader="none"/>
        </w:tabs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>
        <w:rPr>
          <w:rStyle w:val="Style17"/>
          <w:sz w:val="26"/>
          <w:szCs w:val="26"/>
        </w:rPr>
        <w:t xml:space="preserve"> 0412</w:t>
      </w:r>
      <w:r>
        <w:rPr>
          <w:sz w:val="26"/>
          <w:szCs w:val="26"/>
        </w:rPr>
        <w:t xml:space="preserve"> «Другие вопросы в области национальной экономики» - 155,0 тыс. рублей, годовые плановые назначения выполнены на 100,0%. </w:t>
      </w:r>
    </w:p>
    <w:p>
      <w:pPr>
        <w:pStyle w:val="1"/>
        <w:shd w:val="clear" w:color="auto" w:fill="auto"/>
        <w:tabs>
          <w:tab w:val="clear" w:pos="708"/>
          <w:tab w:val="left" w:pos="903" w:leader="none"/>
        </w:tabs>
        <w:ind w:left="740" w:right="20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tabs>
          <w:tab w:val="clear" w:pos="708"/>
          <w:tab w:val="left" w:pos="903" w:leader="none"/>
        </w:tabs>
        <w:ind w:left="20" w:right="20" w:hanging="0"/>
        <w:rPr>
          <w:sz w:val="26"/>
          <w:szCs w:val="26"/>
        </w:rPr>
      </w:pPr>
      <w:r>
        <w:rPr>
          <w:sz w:val="26"/>
          <w:szCs w:val="26"/>
        </w:rPr>
        <w:tab/>
        <w:t>По разделу</w:t>
      </w:r>
      <w:r>
        <w:rPr>
          <w:rStyle w:val="Style17"/>
          <w:sz w:val="26"/>
          <w:szCs w:val="26"/>
        </w:rPr>
        <w:t xml:space="preserve"> 0500 «Жилищно-коммунальное хозяйство»</w:t>
      </w:r>
      <w:r>
        <w:rPr>
          <w:sz w:val="26"/>
          <w:szCs w:val="26"/>
        </w:rPr>
        <w:t xml:space="preserve"> сумма расходов составила 31 309,0 тыс. рублей или 52,6 % в общей сумме расходов. План годовых назначений по разделу выполнен на 98,5%. По сравнению с   2022 годом расходы увеличились на 5 458,2 тыс. рублей или на 21,1%. Расходы по подразделам составили:</w:t>
      </w:r>
    </w:p>
    <w:p>
      <w:pPr>
        <w:pStyle w:val="1"/>
        <w:shd w:val="clear" w:color="auto" w:fill="auto"/>
        <w:tabs>
          <w:tab w:val="clear" w:pos="708"/>
          <w:tab w:val="left" w:pos="903" w:leader="none"/>
        </w:tabs>
        <w:ind w:left="20" w:right="20" w:hanging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rStyle w:val="Style17"/>
          <w:b w:val="false"/>
          <w:sz w:val="26"/>
          <w:szCs w:val="26"/>
        </w:rPr>
        <w:t xml:space="preserve">по подразделу </w:t>
      </w:r>
      <w:r>
        <w:rPr>
          <w:rStyle w:val="Style17"/>
          <w:sz w:val="26"/>
          <w:szCs w:val="26"/>
        </w:rPr>
        <w:t>0501</w:t>
      </w:r>
      <w:r>
        <w:rPr>
          <w:sz w:val="26"/>
          <w:szCs w:val="26"/>
        </w:rPr>
        <w:t xml:space="preserve"> « Жилищное хозяйство» - 3 566,4 тыс. рублей, годовые плановые назначения выполнены на 96,3%;</w:t>
      </w:r>
    </w:p>
    <w:p>
      <w:pPr>
        <w:pStyle w:val="1"/>
        <w:shd w:val="clear" w:color="auto" w:fill="auto"/>
        <w:tabs>
          <w:tab w:val="clear" w:pos="708"/>
          <w:tab w:val="left" w:pos="903" w:leader="none"/>
        </w:tabs>
        <w:ind w:left="20" w:right="20" w:hanging="0"/>
        <w:rPr>
          <w:sz w:val="26"/>
          <w:szCs w:val="26"/>
        </w:rPr>
      </w:pPr>
      <w:r>
        <w:rPr>
          <w:rStyle w:val="Style17"/>
          <w:b w:val="false"/>
          <w:sz w:val="26"/>
          <w:szCs w:val="26"/>
        </w:rPr>
        <w:tab/>
        <w:t xml:space="preserve">по подразделу </w:t>
      </w:r>
      <w:r>
        <w:rPr>
          <w:rStyle w:val="Style17"/>
          <w:sz w:val="26"/>
          <w:szCs w:val="26"/>
        </w:rPr>
        <w:t>0502</w:t>
      </w:r>
      <w:r>
        <w:rPr>
          <w:sz w:val="26"/>
          <w:szCs w:val="26"/>
        </w:rPr>
        <w:t xml:space="preserve"> «Коммунальное хозяйство» - 19 379,6 тыс. рублей, плановые назначения выполнены на 100,0%;</w:t>
      </w:r>
    </w:p>
    <w:p>
      <w:pPr>
        <w:pStyle w:val="1"/>
        <w:numPr>
          <w:ilvl w:val="0"/>
          <w:numId w:val="1"/>
        </w:numPr>
        <w:shd w:val="clear" w:color="auto" w:fill="auto"/>
        <w:tabs>
          <w:tab w:val="clear" w:pos="708"/>
          <w:tab w:val="left" w:pos="1018" w:leader="none"/>
        </w:tabs>
        <w:spacing w:before="0" w:after="236"/>
        <w:ind w:left="20" w:right="20" w:firstLine="720"/>
        <w:rPr>
          <w:sz w:val="26"/>
          <w:szCs w:val="26"/>
        </w:rPr>
      </w:pPr>
      <w:r>
        <w:rPr>
          <w:rStyle w:val="Style17"/>
          <w:b w:val="false"/>
          <w:sz w:val="26"/>
          <w:szCs w:val="26"/>
        </w:rPr>
        <w:t xml:space="preserve"> </w:t>
      </w:r>
      <w:r>
        <w:rPr>
          <w:rStyle w:val="Style17"/>
          <w:b w:val="false"/>
          <w:sz w:val="26"/>
          <w:szCs w:val="26"/>
        </w:rPr>
        <w:t xml:space="preserve">по подразделу </w:t>
      </w:r>
      <w:r>
        <w:rPr>
          <w:rStyle w:val="Style17"/>
          <w:sz w:val="26"/>
          <w:szCs w:val="26"/>
        </w:rPr>
        <w:t>0503</w:t>
      </w:r>
      <w:r>
        <w:rPr>
          <w:sz w:val="26"/>
          <w:szCs w:val="26"/>
        </w:rPr>
        <w:t xml:space="preserve"> «Благоустройство» - 8 363,0 тыс. рублей, план годовых назначений выполнен на 95,9%.</w:t>
      </w:r>
    </w:p>
    <w:p>
      <w:pPr>
        <w:pStyle w:val="1"/>
        <w:shd w:val="clear" w:color="auto" w:fill="auto"/>
        <w:spacing w:lineRule="exact" w:line="302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0700 «Образование»</w:t>
      </w:r>
      <w:r>
        <w:rPr>
          <w:sz w:val="26"/>
          <w:szCs w:val="26"/>
        </w:rPr>
        <w:t xml:space="preserve"> сумма расходов составила 2 929,7 тыс. рублей или 4,9% в общей сумме расходов. План годовых назначений по разделу выполнен на 99,8%. По сравнению с 2022 годом расходы увеличились на      2 668,2 тыс. рублей или на 1 020,3%. Расходы по подразделам составили:</w:t>
      </w:r>
    </w:p>
    <w:p>
      <w:pPr>
        <w:pStyle w:val="1"/>
        <w:shd w:val="clear" w:color="auto" w:fill="auto"/>
        <w:tabs>
          <w:tab w:val="clear" w:pos="708"/>
          <w:tab w:val="left" w:pos="927" w:leader="none"/>
        </w:tabs>
        <w:spacing w:lineRule="exact" w:line="322"/>
        <w:ind w:right="40" w:hanging="0"/>
        <w:rPr>
          <w:sz w:val="26"/>
          <w:szCs w:val="26"/>
        </w:rPr>
      </w:pPr>
      <w:r>
        <w:rPr>
          <w:sz w:val="26"/>
          <w:szCs w:val="26"/>
        </w:rPr>
        <w:tab/>
        <w:t xml:space="preserve">- по подразделу </w:t>
      </w:r>
      <w:r>
        <w:rPr>
          <w:b/>
          <w:sz w:val="26"/>
          <w:szCs w:val="26"/>
        </w:rPr>
        <w:t>0701</w:t>
      </w:r>
      <w:r>
        <w:rPr>
          <w:sz w:val="26"/>
          <w:szCs w:val="26"/>
        </w:rPr>
        <w:t xml:space="preserve"> «Дошкольное образование» - 308,7 тыс. рублей, план годовых назначений выполнен на 100,0 %;</w:t>
      </w:r>
    </w:p>
    <w:p>
      <w:pPr>
        <w:pStyle w:val="1"/>
        <w:shd w:val="clear" w:color="auto" w:fill="auto"/>
        <w:tabs>
          <w:tab w:val="clear" w:pos="708"/>
          <w:tab w:val="left" w:pos="927" w:leader="none"/>
        </w:tabs>
        <w:spacing w:lineRule="exact" w:line="322"/>
        <w:ind w:right="40" w:hanging="0"/>
        <w:rPr>
          <w:sz w:val="26"/>
          <w:szCs w:val="26"/>
        </w:rPr>
      </w:pPr>
      <w:r>
        <w:rPr>
          <w:sz w:val="26"/>
          <w:szCs w:val="26"/>
        </w:rPr>
        <w:tab/>
        <w:t xml:space="preserve">- по подразделу </w:t>
      </w:r>
      <w:r>
        <w:rPr>
          <w:b/>
          <w:sz w:val="26"/>
          <w:szCs w:val="26"/>
        </w:rPr>
        <w:t>0702</w:t>
      </w:r>
      <w:r>
        <w:rPr>
          <w:sz w:val="26"/>
          <w:szCs w:val="26"/>
        </w:rPr>
        <w:t xml:space="preserve"> «Общее образование» - 2 384,1 тыс. рублей, план годовых назначений выполнен на 100,0%;</w:t>
      </w:r>
    </w:p>
    <w:p>
      <w:pPr>
        <w:pStyle w:val="1"/>
        <w:shd w:val="clear" w:color="auto" w:fill="auto"/>
        <w:tabs>
          <w:tab w:val="clear" w:pos="708"/>
          <w:tab w:val="left" w:pos="927" w:leader="none"/>
        </w:tabs>
        <w:spacing w:lineRule="exact" w:line="322"/>
        <w:ind w:right="40" w:hanging="0"/>
        <w:rPr>
          <w:sz w:val="26"/>
          <w:szCs w:val="26"/>
        </w:rPr>
      </w:pPr>
      <w:r>
        <w:rPr>
          <w:sz w:val="26"/>
          <w:szCs w:val="26"/>
        </w:rPr>
        <w:t xml:space="preserve">- по подразделу </w:t>
      </w:r>
      <w:r>
        <w:rPr>
          <w:b/>
          <w:sz w:val="26"/>
          <w:szCs w:val="26"/>
        </w:rPr>
        <w:t>0705</w:t>
      </w:r>
      <w:r>
        <w:rPr>
          <w:sz w:val="26"/>
          <w:szCs w:val="26"/>
        </w:rPr>
        <w:t xml:space="preserve"> «Профессиональная подготовка, переподготовка и повышение квалификации» - 3,5 тыс. рублей, план годовых назначений выполнен на 87,5%;</w:t>
      </w:r>
    </w:p>
    <w:p>
      <w:pPr>
        <w:pStyle w:val="1"/>
        <w:shd w:val="clear" w:color="auto" w:fill="auto"/>
        <w:tabs>
          <w:tab w:val="clear" w:pos="708"/>
          <w:tab w:val="left" w:pos="927" w:leader="none"/>
        </w:tabs>
        <w:spacing w:lineRule="exact" w:line="322"/>
        <w:ind w:right="40" w:firstLine="924"/>
        <w:rPr>
          <w:sz w:val="26"/>
          <w:szCs w:val="26"/>
        </w:rPr>
      </w:pPr>
      <w:r>
        <w:rPr>
          <w:sz w:val="26"/>
          <w:szCs w:val="26"/>
        </w:rPr>
        <w:t xml:space="preserve">- по подразделу </w:t>
      </w:r>
      <w:r>
        <w:rPr>
          <w:b/>
          <w:sz w:val="26"/>
          <w:szCs w:val="26"/>
        </w:rPr>
        <w:t>0707</w:t>
      </w:r>
      <w:r>
        <w:rPr>
          <w:sz w:val="26"/>
          <w:szCs w:val="26"/>
        </w:rPr>
        <w:t xml:space="preserve"> «Молодёжная политика» - 233,4 тыс. рублей, план годовых назначений выполнен на 97,5%.</w:t>
      </w:r>
    </w:p>
    <w:p>
      <w:pPr>
        <w:pStyle w:val="1"/>
        <w:shd w:val="clear" w:color="auto" w:fill="auto"/>
        <w:tabs>
          <w:tab w:val="clear" w:pos="708"/>
          <w:tab w:val="left" w:pos="927" w:leader="none"/>
        </w:tabs>
        <w:spacing w:lineRule="exact" w:line="322"/>
        <w:ind w:right="40" w:firstLine="92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ind w:left="20" w:right="40" w:firstLine="700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0800 «Культура, кинематография»</w:t>
      </w:r>
      <w:r>
        <w:rPr>
          <w:sz w:val="26"/>
          <w:szCs w:val="26"/>
        </w:rPr>
        <w:t xml:space="preserve"> (подраздел </w:t>
      </w:r>
      <w:r>
        <w:rPr>
          <w:b/>
          <w:sz w:val="26"/>
          <w:szCs w:val="26"/>
        </w:rPr>
        <w:t>0801</w:t>
      </w:r>
      <w:r>
        <w:rPr>
          <w:sz w:val="26"/>
          <w:szCs w:val="26"/>
        </w:rPr>
        <w:t xml:space="preserve"> «Культура») сумма расходов составила 9 059,5 тыс. рублей или 15,3</w:t>
      </w:r>
      <w:bookmarkStart w:id="1" w:name="_GoBack"/>
      <w:bookmarkEnd w:id="1"/>
      <w:r>
        <w:rPr>
          <w:sz w:val="26"/>
          <w:szCs w:val="26"/>
        </w:rPr>
        <w:t xml:space="preserve">% в общей сумме расходов. План годовых назначений выполнен на 96,2%. По сравнению с 2022 годом расходы по разделу увеличились на 38,6 тыс. рублей или на 0,4%. </w:t>
      </w:r>
    </w:p>
    <w:p>
      <w:pPr>
        <w:pStyle w:val="1"/>
        <w:shd w:val="clear" w:color="auto" w:fill="auto"/>
        <w:ind w:right="40" w:firstLine="709"/>
        <w:rPr>
          <w:sz w:val="26"/>
          <w:szCs w:val="26"/>
        </w:rPr>
      </w:pPr>
      <w:r>
        <w:rPr>
          <w:sz w:val="26"/>
          <w:szCs w:val="26"/>
        </w:rPr>
        <w:t xml:space="preserve">Расходы на обеспечение деятельности Домов культуры составили   7 002,7 тыс. рублей. Расходы на обеспечение деятельности библиотеки составили 1 540,2 тыс. рублей. Расходы на проведение культурно-массовых мероприятий составили 499,9 тыс. рублей. Сумма уплаченных налогов учреждениями культуры составила 16,7 тыс. рублей. </w:t>
      </w:r>
    </w:p>
    <w:p>
      <w:pPr>
        <w:pStyle w:val="1"/>
        <w:shd w:val="clear" w:color="auto" w:fill="auto"/>
        <w:ind w:right="40" w:firstLine="709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spacing w:lineRule="exact" w:line="302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1000 «Социальная политика»</w:t>
      </w:r>
      <w:r>
        <w:rPr>
          <w:sz w:val="26"/>
          <w:szCs w:val="26"/>
        </w:rPr>
        <w:t xml:space="preserve"> (подраздел </w:t>
      </w:r>
      <w:r>
        <w:rPr>
          <w:b/>
          <w:sz w:val="26"/>
          <w:szCs w:val="26"/>
        </w:rPr>
        <w:t xml:space="preserve">1001 </w:t>
      </w:r>
      <w:r>
        <w:rPr>
          <w:sz w:val="26"/>
          <w:szCs w:val="26"/>
        </w:rPr>
        <w:t xml:space="preserve">«Пенсионное обеспечение») сумма расходов составила 438,2 тыс. рублей, что составляет      0,7% в общей сумме расходов. План годовых назначений выполнен на 100,0%. По сравнению с 2022 годом расходы по разделу увеличились на 27,0 тыс. рублей или на 6,6%. </w:t>
      </w:r>
    </w:p>
    <w:p>
      <w:pPr>
        <w:pStyle w:val="1"/>
        <w:shd w:val="clear" w:color="auto" w:fill="auto"/>
        <w:ind w:left="20" w:right="40" w:firstLine="70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spacing w:before="0" w:after="240"/>
        <w:ind w:left="20" w:right="40" w:firstLine="700"/>
        <w:rPr>
          <w:sz w:val="26"/>
          <w:szCs w:val="26"/>
        </w:rPr>
      </w:pPr>
      <w:r>
        <w:rPr>
          <w:sz w:val="26"/>
          <w:szCs w:val="26"/>
        </w:rPr>
        <w:t>По разделу</w:t>
      </w:r>
      <w:r>
        <w:rPr>
          <w:rStyle w:val="Style17"/>
          <w:sz w:val="26"/>
          <w:szCs w:val="26"/>
        </w:rPr>
        <w:t xml:space="preserve"> 1100 «Физическая культура и спорт»</w:t>
      </w:r>
      <w:r>
        <w:rPr>
          <w:sz w:val="26"/>
          <w:szCs w:val="26"/>
        </w:rPr>
        <w:t xml:space="preserve"> (подраздел </w:t>
      </w:r>
      <w:r>
        <w:rPr>
          <w:b/>
          <w:sz w:val="26"/>
          <w:szCs w:val="26"/>
        </w:rPr>
        <w:t>1102</w:t>
      </w:r>
      <w:r>
        <w:rPr>
          <w:sz w:val="26"/>
          <w:szCs w:val="26"/>
        </w:rPr>
        <w:t xml:space="preserve"> «Массовый спорт») сумма расходов составила 248,0 тыс. рублей или 0,4% в общей сумме расходов, план годовых назначений по разделу выполнен на     72,4%. По сравнению с 2022 годом расходы по разделу уменьшились на          42,5 тыс. рублей или на 14,6%. </w:t>
      </w:r>
    </w:p>
    <w:p>
      <w:pPr>
        <w:pStyle w:val="Normal"/>
        <w:ind w:firstLine="709"/>
        <w:jc w:val="both"/>
        <w:rPr>
          <w:sz w:val="26"/>
          <w:szCs w:val="26"/>
        </w:rPr>
      </w:pPr>
      <w:r/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48260</wp:posOffset>
            </wp:positionH>
            <wp:positionV relativeFrom="paragraph">
              <wp:posOffset>550545</wp:posOffset>
            </wp:positionV>
            <wp:extent cx="5796280" cy="2472690"/>
            <wp:effectExtent l="0" t="0" r="0" b="0"/>
            <wp:wrapSquare wrapText="bothSides"/>
            <wp:docPr id="3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  <w:t>Э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кономическая структура расходов бюджета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поселения характеризуется следующими показателями (рисунок 3).</w:t>
      </w:r>
      <w:r>
        <w:rPr>
          <w:sz w:val="26"/>
          <w:szCs w:val="26"/>
        </w:rPr>
        <w:t xml:space="preserve"> </w:t>
      </w:r>
    </w:p>
    <w:p>
      <w:pPr>
        <w:pStyle w:val="Normal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Рис. 3. Экономическая структура расходов бюджета Кировского сельского поселения за 2023 год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выплаты персоналу и взносы по обязательному социальному страхованию сумма расходов составила 10 402,4 тыс. рублей или 17,5% в общей сумме расходов бюджета.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закупки товаров, работ и услуг для муниципальных нужд расходы составили 24 281,2 тыс. рублей или 40,8%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социальное обеспечение расходы составили 438,2 тыс. рублей или     0,7%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капитальные вложения расходы составили 19 379,6 тыс. рублей или 32,6% в общей сумме расходов.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межбюджетный трансферт в муниципальный район по Соглашению о передаче части полномочий поселения муниципальному району сумма расходов составила 406,6 тыс. рублей или 0,7% в общей сумме расходов.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иные бюджетные ассигнования сумма расходов составила 4 585,5 тыс. рублей или 7,7% в общей сумме расходов бюджета. </w:t>
      </w:r>
    </w:p>
    <w:p>
      <w:pPr>
        <w:pStyle w:val="1"/>
        <w:shd w:val="clear" w:color="auto" w:fill="auto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shd w:val="clear" w:color="auto" w:fill="auto"/>
        <w:spacing w:before="0" w:after="240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 xml:space="preserve">Таким образом, по ведомственной структуре расходов исполнение бюджетных назначений по главному распорядителю бюджетных средств        </w:t>
      </w:r>
      <w:r>
        <w:rPr>
          <w:b/>
          <w:sz w:val="26"/>
          <w:szCs w:val="26"/>
        </w:rPr>
        <w:t xml:space="preserve">950 Администрация Кировского сельского поселения </w:t>
      </w:r>
      <w:r>
        <w:rPr>
          <w:sz w:val="26"/>
          <w:szCs w:val="26"/>
        </w:rPr>
        <w:t>составило 59 493,5 тыс. рублей.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Источники финансирования дефицита бюджета поселения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Бюджет Кировского сельского поселения на 2023 год принят с дефицитом в размере 3 728,2 тыс. руб.  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За 2023 год бюджет поселения исполнен с превышением расходов над доходами (дефицит бюджета) в сумме 5 445,5 тыс. рублей.</w:t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Normal"/>
        <w:ind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И.о.главы Кировского сельского поселения</w:t>
        <w:tab/>
        <w:tab/>
        <w:tab/>
        <w:t xml:space="preserve">      С.Ю.Шишкина</w:t>
      </w:r>
    </w:p>
    <w:sectPr>
      <w:footerReference w:type="default" r:id="rId5"/>
      <w:type w:val="nextPage"/>
      <w:pgSz w:w="11906" w:h="16838"/>
      <w:pgMar w:left="1701" w:right="1134" w:header="0" w:top="1134" w:footer="709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96300379"/>
    </w:sdtPr>
    <w:sdtContent>
      <w:p>
        <w:pPr>
          <w:pStyle w:val="Style27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Style27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c6b6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2"/>
    <w:basedOn w:val="Normal"/>
    <w:next w:val="Normal"/>
    <w:link w:val="20"/>
    <w:qFormat/>
    <w:rsid w:val="004424ee"/>
    <w:pPr>
      <w:keepNext w:val="true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link w:val="a5"/>
    <w:qFormat/>
    <w:rsid w:val="00733dcd"/>
    <w:rPr>
      <w:rFonts w:ascii="Tahoma" w:hAnsi="Tahoma" w:cs="Tahoma"/>
      <w:sz w:val="16"/>
      <w:szCs w:val="16"/>
    </w:rPr>
  </w:style>
  <w:style w:type="character" w:styleId="Style14" w:customStyle="1">
    <w:name w:val="Нижний колонтитул Знак"/>
    <w:basedOn w:val="DefaultParagraphFont"/>
    <w:link w:val="a9"/>
    <w:uiPriority w:val="99"/>
    <w:qFormat/>
    <w:rsid w:val="000b4fb1"/>
    <w:rPr/>
  </w:style>
  <w:style w:type="character" w:styleId="21" w:customStyle="1">
    <w:name w:val="Заголовок 2 Знак"/>
    <w:link w:val="2"/>
    <w:qFormat/>
    <w:rsid w:val="00cc6b63"/>
    <w:rPr>
      <w:sz w:val="28"/>
    </w:rPr>
  </w:style>
  <w:style w:type="character" w:styleId="Style15" w:customStyle="1">
    <w:name w:val="Основной текст Знак"/>
    <w:basedOn w:val="DefaultParagraphFont"/>
    <w:link w:val="ac"/>
    <w:qFormat/>
    <w:rsid w:val="006d56d6"/>
    <w:rPr/>
  </w:style>
  <w:style w:type="character" w:styleId="Style16" w:customStyle="1">
    <w:name w:val="Основной текст_"/>
    <w:basedOn w:val="DefaultParagraphFont"/>
    <w:link w:val="1"/>
    <w:qFormat/>
    <w:rsid w:val="00ae6061"/>
    <w:rPr>
      <w:sz w:val="24"/>
      <w:szCs w:val="24"/>
      <w:shd w:fill="FFFFFF" w:val="clear"/>
    </w:rPr>
  </w:style>
  <w:style w:type="character" w:styleId="115pt0pt" w:customStyle="1">
    <w:name w:val="Основной текст + 11;5 pt;Полужирный;Интервал 0 pt"/>
    <w:basedOn w:val="Style16"/>
    <w:qFormat/>
    <w:rsid w:val="00ae6061"/>
    <w:rPr>
      <w:b/>
      <w:bCs/>
      <w:spacing w:val="10"/>
      <w:sz w:val="23"/>
      <w:szCs w:val="23"/>
      <w:shd w:fill="FFFFFF" w:val="clear"/>
    </w:rPr>
  </w:style>
  <w:style w:type="character" w:styleId="Style17" w:customStyle="1">
    <w:name w:val="Основной текст + Полужирный"/>
    <w:basedOn w:val="Style16"/>
    <w:qFormat/>
    <w:rsid w:val="00ae6061"/>
    <w:rPr>
      <w:b/>
      <w:bCs/>
      <w:sz w:val="24"/>
      <w:szCs w:val="24"/>
      <w:shd w:fill="FFFFFF" w:val="clear"/>
    </w:rPr>
  </w:style>
  <w:style w:type="character" w:styleId="Style18" w:customStyle="1">
    <w:name w:val="Текст Знак"/>
    <w:basedOn w:val="DefaultParagraphFont"/>
    <w:link w:val="af1"/>
    <w:qFormat/>
    <w:rsid w:val="00932e20"/>
    <w:rPr>
      <w:rFonts w:ascii="Courier New" w:hAnsi="Courier New"/>
      <w:lang w:val="x-none" w:eastAsia="x-none"/>
    </w:rPr>
  </w:style>
  <w:style w:type="character" w:styleId="Strong">
    <w:name w:val="Strong"/>
    <w:basedOn w:val="DefaultParagraphFont"/>
    <w:uiPriority w:val="22"/>
    <w:qFormat/>
    <w:rsid w:val="00bf1148"/>
    <w:rPr>
      <w:b/>
      <w:bCs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link w:val="ad"/>
    <w:rsid w:val="006d56d6"/>
    <w:pPr>
      <w:spacing w:before="0" w:after="12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Body Text Indent"/>
    <w:basedOn w:val="Normal"/>
    <w:rsid w:val="004424ee"/>
    <w:pPr>
      <w:ind w:firstLine="567"/>
      <w:jc w:val="both"/>
    </w:pPr>
    <w:rPr>
      <w:sz w:val="28"/>
    </w:rPr>
  </w:style>
  <w:style w:type="paragraph" w:styleId="BodyTextIndent3">
    <w:name w:val="Body Text Indent 3"/>
    <w:basedOn w:val="Normal"/>
    <w:qFormat/>
    <w:rsid w:val="004424ee"/>
    <w:pPr>
      <w:ind w:firstLine="567"/>
      <w:jc w:val="center"/>
    </w:pPr>
    <w:rPr>
      <w:sz w:val="28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Header"/>
    <w:basedOn w:val="Normal"/>
    <w:rsid w:val="00de3d3a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ConsNormal" w:customStyle="1">
    <w:name w:val="ConsNormal"/>
    <w:qFormat/>
    <w:rsid w:val="007c08a1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6"/>
    <w:qFormat/>
    <w:rsid w:val="00733dcd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b26a9"/>
    <w:pPr>
      <w:spacing w:beforeAutospacing="1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93a33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27">
    <w:name w:val="Footer"/>
    <w:basedOn w:val="Normal"/>
    <w:link w:val="aa"/>
    <w:uiPriority w:val="99"/>
    <w:rsid w:val="000b4f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сновной текст1"/>
    <w:basedOn w:val="Normal"/>
    <w:link w:val="ae"/>
    <w:qFormat/>
    <w:rsid w:val="00ae6061"/>
    <w:pPr>
      <w:shd w:val="clear" w:color="auto" w:fill="FFFFFF"/>
      <w:spacing w:lineRule="exact" w:line="298"/>
      <w:jc w:val="both"/>
    </w:pPr>
    <w:rPr>
      <w:sz w:val="24"/>
      <w:szCs w:val="24"/>
    </w:rPr>
  </w:style>
  <w:style w:type="paragraph" w:styleId="PlainText">
    <w:name w:val="Plain Text"/>
    <w:basedOn w:val="Normal"/>
    <w:link w:val="af2"/>
    <w:qFormat/>
    <w:rsid w:val="00932e20"/>
    <w:pPr/>
    <w:rPr>
      <w:rFonts w:ascii="Courier New" w:hAnsi="Courier New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cc6b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bd652b"/>
    <w:tblPr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af0">
    <w:name w:val="Table Elegant"/>
    <w:basedOn w:val="a1"/>
    <w:rsid w:val="00dc34fd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chart" Target="charts/chart2.xml"/><Relationship Id="rId4" Type="http://schemas.openxmlformats.org/officeDocument/2006/relationships/chart" Target="charts/chart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1.xlsx"/>
</Relationships>
</file>

<file path=word/charts/_rels/chart2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2.xlsx"/>
</Relationships>
</file>

<file path=word/charts/_rels/chart3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3.xlsx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30"/>
      <c:rotY val="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14675"/>
          <c:y val="0.322777777777778"/>
          <c:w val="0.7354375"/>
          <c:h val="0.676777777777778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explosion val="25"/>
          <c:dPt>
            <c:idx val="0"/>
            <c:explosion val="25"/>
            <c:spPr>
              <a:solidFill>
                <a:srgbClr val="4672a8"/>
              </a:solidFill>
              <a:ln w="0">
                <a:noFill/>
              </a:ln>
            </c:spPr>
          </c:dPt>
          <c:dPt>
            <c:idx val="1"/>
            <c:explosion val="25"/>
            <c:spPr>
              <a:solidFill>
                <a:srgbClr val="ab4744"/>
              </a:solidFill>
              <a:ln w="0">
                <a:noFill/>
              </a:ln>
            </c:spPr>
          </c:dPt>
          <c:dPt>
            <c:idx val="2"/>
            <c:explosion val="13"/>
            <c:spPr>
              <a:solidFill>
                <a:srgbClr val="8aa64f"/>
              </a:solidFill>
              <a:ln w="0">
                <a:noFill/>
              </a:ln>
            </c:spPr>
          </c:dPt>
          <c:dPt>
            <c:idx val="3"/>
            <c:explosion val="25"/>
            <c:spPr>
              <a:solidFill>
                <a:srgbClr val="725990"/>
              </a:solidFill>
              <a:ln w="0">
                <a:noFill/>
              </a:ln>
            </c:spPr>
          </c:dPt>
          <c:dPt>
            <c:idx val="4"/>
            <c:explosion val="25"/>
            <c:spPr>
              <a:solidFill>
                <a:srgbClr val="4299b0"/>
              </a:solidFill>
              <a:ln w="0">
                <a:noFill/>
              </a:ln>
            </c:spPr>
          </c:dPt>
          <c:dPt>
            <c:idx val="5"/>
            <c:explosion val="25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explosion val="25"/>
            <c:spPr>
              <a:solidFill>
                <a:srgbClr val="93a9ce"/>
              </a:solidFill>
              <a:ln w="0">
                <a:noFill/>
              </a:ln>
            </c:spPr>
          </c:dPt>
          <c:dPt>
            <c:idx val="7"/>
            <c:explosion val="25"/>
            <c:spPr>
              <a:solidFill>
                <a:srgbClr val="d09493"/>
              </a:solidFill>
              <a:ln w="0">
                <a:noFill/>
              </a:ln>
            </c:spPr>
          </c:dPt>
          <c:dPt>
            <c:idx val="8"/>
            <c:explosion val="25"/>
            <c:spPr>
              <a:solidFill>
                <a:srgbClr val="b8cd97"/>
              </a:soli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1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2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ЕСХН
0,1%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3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Задолженность и перерасчеты по отмененным налогам, сборам и иным обязательным платежам
менее 0,01%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4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Налоги на имущество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
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61,4%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5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
</c:separator>
            </c:dLbl>
            <c:dLbl>
              <c:idx val="6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Доходы от использования имущества  
1,7%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7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dLbl>
              <c:idx val="8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eparator>
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0"/>
            <c:showCatName val="1"/>
            <c:showSerName val="0"/>
            <c:showPercent val="1"/>
            <c:separator>
</c:separator>
            <c:showLeaderLines val="0"/>
          </c:dLbls>
          <c:cat>
            <c:strRef>
              <c:f>categories</c:f>
              <c:strCache>
                <c:ptCount val="9"/>
                <c:pt idx="0">
                  <c:v>НДФЛ</c:v>
                </c:pt>
                <c:pt idx="1">
                  <c:v>Акцизы</c:v>
                </c:pt>
                <c:pt idx="2">
                  <c:v>ЕСХН</c:v>
                </c:pt>
                <c:pt idx="3">
                  <c:v>Задолженность и перерасчеты по отмененным налогам, сборам и иным обязательным платежам</c:v>
                </c:pt>
                <c:pt idx="4">
                  <c:v>Налоги на имущество </c:v>
                </c:pt>
                <c:pt idx="5">
                  <c:v/>
                </c:pt>
                <c:pt idx="6">
                  <c:v>Доходы от использования имущества</c:v>
                </c:pt>
                <c:pt idx="7">
                  <c:v>Доходы от оказания платных услуг и компенсации затрат государства</c:v>
                </c:pt>
                <c:pt idx="8">
                  <c:v>Штрафы, санкции, возмещение ущерба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9"/>
                <c:pt idx="0">
                  <c:v>0.207467980387405</c:v>
                </c:pt>
                <c:pt idx="1">
                  <c:v>0.040294841439997</c:v>
                </c:pt>
                <c:pt idx="2">
                  <c:v>0.000342567907679114</c:v>
                </c:pt>
                <c:pt idx="3">
                  <c:v>0</c:v>
                </c:pt>
                <c:pt idx="4">
                  <c:v>0.614000540651392</c:v>
                </c:pt>
                <c:pt idx="5">
                  <c:v>0</c:v>
                </c:pt>
                <c:pt idx="6">
                  <c:v>0.0172891925651112</c:v>
                </c:pt>
                <c:pt idx="7">
                  <c:v>0.0979394656872798</c:v>
                </c:pt>
                <c:pt idx="8">
                  <c:v>0.0226654113611365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60"/>
      <c:rotY val="9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116625"/>
          <c:y val="0"/>
          <c:w val="0.617125"/>
          <c:h val="1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gradFill>
              <a:gsLst>
                <a:gs pos="0">
                  <a:srgbClr val="2e5f99"/>
                </a:gs>
                <a:gs pos="100000">
                  <a:srgbClr val="3c7ac7"/>
                </a:gs>
              </a:gsLst>
              <a:lin ang="16200000"/>
            </a:gradFill>
            <a:ln w="0">
              <a:noFill/>
            </a:ln>
          </c:spPr>
          <c:explosion val="0"/>
          <c:dPt>
            <c:idx val="0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1"/>
            <c:explosion val="32"/>
            <c:spPr>
              <a:gradFill>
                <a:gsLst>
                  <a:gs pos="0">
                    <a:srgbClr val="8b2926"/>
                  </a:gs>
                  <a:gs pos="100000">
                    <a:srgbClr val="b43632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2"/>
            <c:spPr>
              <a:solidFill>
                <a:srgbClr val="92d050"/>
              </a:solidFill>
              <a:ln w="0">
                <a:solidFill>
                  <a:srgbClr val="00b050"/>
                </a:solidFill>
              </a:ln>
            </c:spPr>
          </c:dPt>
          <c:dPt>
            <c:idx val="3"/>
            <c:explosion val="7"/>
            <c:spPr>
              <a:gradFill>
                <a:gsLst>
                  <a:gs pos="0">
                    <a:srgbClr val="553c71"/>
                  </a:gs>
                  <a:gs pos="100000">
                    <a:srgbClr val="6d4e93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4"/>
            <c:explosion val="19"/>
            <c:spPr>
              <a:solidFill>
                <a:srgbClr val="00b0f0"/>
              </a:solidFill>
              <a:ln w="0">
                <a:solidFill>
                  <a:srgbClr val="00b0f0"/>
                </a:solidFill>
              </a:ln>
            </c:spPr>
          </c:dPt>
          <c:dPt>
            <c:idx val="5"/>
            <c:explosion val="7"/>
            <c:spPr>
              <a:solidFill>
                <a:srgbClr val="ffff00"/>
              </a:solidFill>
              <a:ln w="0">
                <a:noFill/>
              </a:ln>
            </c:spPr>
          </c:dPt>
          <c:dPt>
            <c:idx val="6"/>
            <c:explosion val="20"/>
            <c:spPr>
              <a:gradFill>
                <a:gsLst>
                  <a:gs pos="0">
                    <a:srgbClr val="667da0"/>
                  </a:gs>
                  <a:gs pos="100000">
                    <a:srgbClr val="85a1d0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7"/>
            <c:explosion val="8"/>
            <c:spPr>
              <a:gradFill>
                <a:gsLst>
                  <a:gs pos="0">
                    <a:srgbClr val="a26766"/>
                  </a:gs>
                  <a:gs pos="100000">
                    <a:srgbClr val="d28685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8"/>
            <c:explosion val="20"/>
            <c:spPr>
              <a:solidFill>
                <a:srgbClr val="f2f2f2"/>
              </a:soli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Общегосударствен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
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ные вопросы 11,7%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1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оборона 0,6%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2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экономика 12,5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3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Социальная политика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 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0,7%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4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Национальная безопасность 1,3%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5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ЖКХ 52,6%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6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Образование 4,9%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7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Культура, кинематография 15,3%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8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</a:rPr>
                      <a:t>Физическая культура и спорт 0,4%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9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экономика</c:v>
                </c:pt>
                <c:pt idx="3">
                  <c:v>Социальная политика</c:v>
                </c:pt>
                <c:pt idx="4">
                  <c:v>Национальная безопасность</c:v>
                </c:pt>
                <c:pt idx="5">
                  <c:v>ЖКХ</c:v>
                </c:pt>
                <c:pt idx="6">
                  <c:v>Образование</c:v>
                </c:pt>
                <c:pt idx="7">
                  <c:v>Культура</c:v>
                </c:pt>
                <c:pt idx="8">
                  <c:v>Физическая культура и спорт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9"/>
                <c:pt idx="0">
                  <c:v>0.117128761965593</c:v>
                </c:pt>
                <c:pt idx="1">
                  <c:v>0.00599897467790599</c:v>
                </c:pt>
                <c:pt idx="2">
                  <c:v>0.124990124971636</c:v>
                </c:pt>
                <c:pt idx="3">
                  <c:v>0.00736551051795574</c:v>
                </c:pt>
                <c:pt idx="4">
                  <c:v>0.012567759503139</c:v>
                </c:pt>
                <c:pt idx="5">
                  <c:v>0.52625917116996</c:v>
                </c:pt>
                <c:pt idx="6">
                  <c:v>0.0492440350626539</c:v>
                </c:pt>
                <c:pt idx="7">
                  <c:v>0.152277139519443</c:v>
                </c:pt>
                <c:pt idx="8">
                  <c:v>0.00416852261171388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Серия2</c:v>
                </c:pt>
              </c:strCache>
            </c:strRef>
          </c:tx>
          <c:spPr>
            <a:gradFill>
              <a:gsLst>
                <a:gs pos="0">
                  <a:srgbClr val="9c2f2c"/>
                </a:gs>
                <a:gs pos="100000">
                  <a:srgbClr val="cb3d39"/>
                </a:gs>
              </a:gsLst>
              <a:lin ang="16200000"/>
            </a:gradFill>
            <a:ln w="0">
              <a:noFill/>
            </a:ln>
          </c:spPr>
          <c:explosion val="0"/>
          <c:dPt>
            <c:idx val="0"/>
            <c:spPr>
              <a:gradFill>
                <a:gsLst>
                  <a:gs pos="0">
                    <a:srgbClr val="295488"/>
                  </a:gs>
                  <a:gs pos="100000">
                    <a:srgbClr val="356db0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1"/>
            <c:spPr>
              <a:gradFill>
                <a:gsLst>
                  <a:gs pos="0">
                    <a:srgbClr val="8b2926"/>
                  </a:gs>
                  <a:gs pos="100000">
                    <a:srgbClr val="b43632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2"/>
            <c:spPr>
              <a:gradFill>
                <a:gsLst>
                  <a:gs pos="0">
                    <a:srgbClr val="698530"/>
                  </a:gs>
                  <a:gs pos="100000">
                    <a:srgbClr val="8aad3f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3"/>
            <c:spPr>
              <a:gradFill>
                <a:gsLst>
                  <a:gs pos="0">
                    <a:srgbClr val="553c71"/>
                  </a:gs>
                  <a:gs pos="100000">
                    <a:srgbClr val="6d4e93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4"/>
            <c:spPr>
              <a:gradFill>
                <a:gsLst>
                  <a:gs pos="0">
                    <a:srgbClr val="25798f"/>
                  </a:gs>
                  <a:gs pos="100000">
                    <a:srgbClr val="2f9dba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5"/>
            <c:spPr>
              <a:gradFill>
                <a:gsLst>
                  <a:gs pos="0">
                    <a:srgbClr val="b6611c"/>
                  </a:gs>
                  <a:gs pos="100000">
                    <a:srgbClr val="ec7d25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6"/>
            <c:spPr>
              <a:gradFill>
                <a:gsLst>
                  <a:gs pos="0">
                    <a:srgbClr val="667da0"/>
                  </a:gs>
                  <a:gs pos="100000">
                    <a:srgbClr val="85a1d0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7"/>
            <c:spPr>
              <a:gradFill>
                <a:gsLst>
                  <a:gs pos="0">
                    <a:srgbClr val="a26766"/>
                  </a:gs>
                  <a:gs pos="100000">
                    <a:srgbClr val="d28685"/>
                  </a:gs>
                </a:gsLst>
                <a:lin ang="16200000"/>
              </a:gradFill>
              <a:ln w="0">
                <a:noFill/>
              </a:ln>
            </c:spPr>
          </c:dPt>
          <c:dPt>
            <c:idx val="8"/>
            <c:spPr>
              <a:gradFill>
                <a:gsLst>
                  <a:gs pos="0">
                    <a:srgbClr val="8b9e6a"/>
                  </a:gs>
                  <a:gs pos="100000">
                    <a:srgbClr val="b4ce8a"/>
                  </a:gs>
                </a:gsLst>
                <a:lin ang="16200000"/>
              </a:gra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1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2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3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4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5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6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7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8"/>
              <c:numFmt formatCode="0.0%" sourceLinked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9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экономика</c:v>
                </c:pt>
                <c:pt idx="3">
                  <c:v>Социальная политика</c:v>
                </c:pt>
                <c:pt idx="4">
                  <c:v>Национальная безопасность</c:v>
                </c:pt>
                <c:pt idx="5">
                  <c:v>ЖКХ</c:v>
                </c:pt>
                <c:pt idx="6">
                  <c:v>Образование</c:v>
                </c:pt>
                <c:pt idx="7">
                  <c:v>Культура</c:v>
                </c:pt>
                <c:pt idx="8">
                  <c:v>Физическая культура и спорт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9"/>
                <c:pt idx="0">
                  <c:v>0.117128761965593</c:v>
                </c:pt>
                <c:pt idx="1">
                  <c:v>0.00599897467790599</c:v>
                </c:pt>
                <c:pt idx="2">
                  <c:v>0.124990124971636</c:v>
                </c:pt>
                <c:pt idx="3">
                  <c:v>0.00736551051795574</c:v>
                </c:pt>
                <c:pt idx="4">
                  <c:v>0.012567759503139</c:v>
                </c:pt>
                <c:pt idx="5">
                  <c:v>0.52625917116996</c:v>
                </c:pt>
                <c:pt idx="6">
                  <c:v>0.0492440350626539</c:v>
                </c:pt>
                <c:pt idx="7">
                  <c:v>0.152277139519443</c:v>
                </c:pt>
                <c:pt idx="8">
                  <c:v>0.00416852261171388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60"/>
      <c:rotY val="7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000875"/>
          <c:y val="0"/>
          <c:w val="0.8783125"/>
          <c:h val="0.847777777777778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8"/>
          <c:dPt>
            <c:idx val="0"/>
            <c:explosion val="8"/>
            <c:spPr>
              <a:solidFill>
                <a:srgbClr val="ffff00"/>
              </a:solidFill>
              <a:ln w="0">
                <a:noFill/>
              </a:ln>
            </c:spPr>
          </c:dPt>
          <c:dPt>
            <c:idx val="1"/>
            <c:explosion val="23"/>
            <c:spPr>
              <a:solidFill>
                <a:srgbClr val="00b050"/>
              </a:solidFill>
              <a:ln w="0">
                <a:noFill/>
              </a:ln>
            </c:spPr>
          </c:dPt>
          <c:dPt>
            <c:idx val="2"/>
            <c:explosion val="8"/>
            <c:spPr>
              <a:solidFill>
                <a:srgbClr val="c0504d"/>
              </a:solidFill>
              <a:ln w="0">
                <a:noFill/>
              </a:ln>
            </c:spPr>
          </c:dPt>
          <c:dPt>
            <c:idx val="3"/>
            <c:explosion val="24"/>
            <c:spPr>
              <a:solidFill>
                <a:srgbClr val="92d050"/>
              </a:solidFill>
              <a:ln w="0">
                <a:noFill/>
              </a:ln>
            </c:spPr>
          </c:dPt>
          <c:dPt>
            <c:idx val="4"/>
            <c:explosion val="8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5"/>
            <c:explosion val="28"/>
            <c:spPr>
              <a:solidFill>
                <a:srgbClr val="f79646"/>
              </a:solidFill>
              <a:ln w="0">
                <a:noFill/>
              </a:ln>
            </c:spPr>
          </c:dPt>
          <c:dLbls>
            <c:numFmt formatCode="0.0%" sourceLinked="0"/>
            <c:dLbl>
              <c:idx val="0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Расходы на оплату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труда и взносов по соц. страхованию 17,5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1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Иные бюджетные ассигнования 7,7</a:t>
                    </a:r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 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2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Закупка для муниципальных нужд 40,8 %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eparator>; </c:separator>
            </c:dLbl>
            <c:dLbl>
              <c:idx val="3"/>
              <c:numFmt formatCode="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Межбюджетные трансферты 0,7 %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eparator>; </c:separator>
            </c:dLbl>
            <c:dLbl>
              <c:idx val="4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Капитальные вложения 32,6%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5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tx>
                <c:rich>
                  <a:bodyPr/>
                  <a:p>
                    <a:r>
                      <a:rPr b="0" sz="1000" spc="-1" strike="noStrike">
                        <a:solidFill>
                          <a:srgbClr val="000000"/>
                        </a:solidFill>
                        <a:latin typeface="Calibri"/>
                        <a:ea typeface="Calibri"/>
                      </a:rPr>
                      <a:t>Социальное обеспечение 0,7%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txPr>
              <a:bodyPr wrap="square"/>
              <a:lstStyle/>
              <a:p>
                <a:pPr>
                  <a:defRPr b="0" sz="999" spc="-1" strike="noStrike">
                    <a:solidFill>
                      <a:srgbClr val="000000"/>
                    </a:solidFill>
                    <a:latin typeface="Calibri"/>
                    <a:ea typeface="Calibri"/>
                  </a:defRPr>
                </a:pPr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6"/>
                <c:pt idx="0">
                  <c:v>Расходы на  выплаты персоналу и взносы по обязательному социальному страхованию</c:v>
                </c:pt>
                <c:pt idx="1">
                  <c:v>Иные бюджетные ассигнования</c:v>
                </c:pt>
                <c:pt idx="2">
                  <c:v>Закупка для муниципальных нужд</c:v>
                </c:pt>
                <c:pt idx="3">
                  <c:v>Межбюджетные трансферты</c:v>
                </c:pt>
                <c:pt idx="4">
                  <c:v>Капитальные вложения</c:v>
                </c:pt>
                <c:pt idx="5">
                  <c:v>Социальное обеспечение и иные выплаты населению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6"/>
                <c:pt idx="0">
                  <c:v>0.174849353290696</c:v>
                </c:pt>
                <c:pt idx="1">
                  <c:v>0.0770756469194114</c:v>
                </c:pt>
                <c:pt idx="2">
                  <c:v>0.408131980804626</c:v>
                </c:pt>
                <c:pt idx="3">
                  <c:v>0.00683436005614059</c:v>
                </c:pt>
                <c:pt idx="4">
                  <c:v>0.325743148411171</c:v>
                </c:pt>
                <c:pt idx="5">
                  <c:v>0.00736551051795574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E53A1DA-AB01-40CB-8C52-C75AB977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Application>LibreOffice/7.0.1.2$Windows_X86_64 LibreOffice_project/7cbcfc562f6eb6708b5ff7d7397325de9e764452</Application>
  <Pages>8</Pages>
  <Words>2461</Words>
  <Characters>14943</Characters>
  <CharactersWithSpaces>17371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2015-12-23T05:29:00Z</dcterms:created>
  <dc:creator>User</dc:creator>
  <dc:description/>
  <dc:language>ru-RU</dc:language>
  <cp:lastModifiedBy/>
  <cp:lastPrinted>2024-05-23T13:51:53Z</cp:lastPrinted>
  <dcterms:modified xsi:type="dcterms:W3CDTF">2024-05-22T11:02:59Z</dcterms:modified>
  <cp:revision>237</cp:revision>
  <dc:subject/>
  <dc:title>                                  Пояснительная записка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